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sz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14605</wp:posOffset>
                </wp:positionV>
                <wp:extent cx="609600" cy="755650"/>
                <wp:effectExtent l="0" t="0" r="0" b="6350"/>
                <wp:wrapNone/>
                <wp:docPr id="1" name="Рисунок 2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0pt;mso-position-horizontal:absolute;mso-position-vertical-relative:text;margin-top:1.15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b/>
        </w:rPr>
      </w:pPr>
      <w:r>
        <w:rPr>
          <w:b/>
        </w:rPr>
        <w:t xml:space="preserve">от</w:t>
      </w:r>
      <w:r>
        <w:rPr>
          <w:b/>
        </w:rPr>
        <w:t xml:space="preserve"> 29.07.2025</w:t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lang w:val="en-US"/>
        </w:rPr>
        <w:t xml:space="preserve">     </w:t>
      </w:r>
      <w:r>
        <w:rPr>
          <w:b/>
        </w:rPr>
        <w:t xml:space="preserve">№ </w:t>
      </w:r>
      <w:r>
        <w:rPr>
          <w:b/>
          <w:lang w:val="en-US"/>
        </w:rPr>
        <w:t xml:space="preserve">1252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</w:rPr>
        <w:t xml:space="preserve">п.г.т</w:t>
      </w:r>
      <w:r>
        <w:rPr>
          <w:b/>
        </w:rPr>
        <w:t xml:space="preserve">. Никель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внесении изменений в постановление администрации Печенгского муниципального округа </w:t>
        <w:br/>
        <w:t xml:space="preserve">от 20.06.2023 № 900</w:t>
      </w:r>
      <w:r>
        <w:rPr>
          <w:b/>
          <w:sz w:val="20"/>
          <w:szCs w:val="20"/>
        </w:rPr>
        <w:t xml:space="preserve">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Печенгского муниципального округа, о форме и сроках формирования отчета об их исполнении»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709"/>
        <w:jc w:val="both"/>
      </w:pPr>
      <w:r>
        <w:t xml:space="preserve">В соответствии с Федеральным законом Российской Федерации от 26.12.2024 </w:t>
        <w:br/>
        <w:t xml:space="preserve">№ 476-ФЗ «</w:t>
      </w:r>
      <w:r>
        <w:rPr>
          <w:bCs/>
        </w:rPr>
        <w:t xml:space="preserve">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 и отдельные законодательные акты Российской Федерации»</w:t>
      </w:r>
      <w:r>
        <w:rPr>
          <w:bCs/>
        </w:rPr>
        <w:t xml:space="preserve">, </w:t>
      </w:r>
      <w:r/>
    </w:p>
    <w:p>
      <w:pPr>
        <w:ind w:firstLine="540"/>
        <w:jc w:val="both"/>
        <w:spacing w:line="288" w:lineRule="atLeast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r/>
    </w:p>
    <w:p>
      <w:pPr>
        <w:jc w:val="both"/>
        <w:rPr>
          <w:b/>
          <w:bCs/>
        </w:rPr>
        <w:pBdr>
          <w:right w:val="none" w:color="000000" w:sz="4" w:space="12"/>
        </w:pBdr>
      </w:pPr>
      <w:r>
        <w:rPr>
          <w:b/>
          <w:bCs/>
        </w:rPr>
        <w:t xml:space="preserve">ПОСТАНОВЛЯЮ:</w:t>
      </w:r>
      <w:r>
        <w:rPr>
          <w:b/>
          <w:bCs/>
        </w:rPr>
      </w:r>
      <w:r>
        <w:rPr>
          <w:b/>
          <w:bCs/>
        </w:rPr>
      </w:r>
    </w:p>
    <w:p>
      <w:pPr>
        <w:ind w:right="-3"/>
        <w:jc w:val="both"/>
        <w:widowControl w:val="off"/>
      </w:pPr>
      <w:r/>
      <w:r/>
    </w:p>
    <w:p>
      <w:pPr>
        <w:ind w:left="0" w:right="0" w:firstLine="709"/>
        <w:jc w:val="both"/>
        <w:widowControl w:val="off"/>
      </w:pPr>
      <w:r>
        <w:t xml:space="preserve">1. Внести в постановление администрации Печенгского муниципального округа </w:t>
        <w:br/>
        <w:t xml:space="preserve">от 20.06.2023 № 900 «О Порядке формирова</w:t>
      </w:r>
      <w:r>
        <w:t xml:space="preserve">ния муниципальных социальных заказов на оказание муниципальных услуг в социальной сфере, отнесенных к полномочиям органов местного самоуправления Печенгского муниципального округа, о форме и сроках формирования отчета об их исполнении» следующие изменения:</w:t>
      </w:r>
      <w:r/>
    </w:p>
    <w:p>
      <w:pPr>
        <w:ind w:left="0" w:right="0" w:firstLine="709"/>
        <w:jc w:val="both"/>
        <w:widowControl w:val="off"/>
      </w:pPr>
      <w:r>
        <w:t xml:space="preserve">1.1. Дополнить новым пунктом 1.3. следующего содержания:</w:t>
      </w:r>
      <w:r/>
    </w:p>
    <w:p>
      <w:pPr>
        <w:ind w:left="0" w:right="0" w:firstLine="709"/>
        <w:jc w:val="both"/>
        <w:widowControl w:val="off"/>
      </w:pPr>
      <w:r>
        <w:t xml:space="preserve">«1.3. Утвердить перечень муниципальных услуг в социальной сфере, в</w:t>
      </w:r>
      <w:r>
        <w:t xml:space="preserve">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Печенгского муниципального округа, согласно приложению № 3 к настоящему постановлению</w:t>
      </w:r>
      <w:r>
        <w:t xml:space="preserve">.».</w:t>
      </w:r>
      <w:r/>
    </w:p>
    <w:p>
      <w:pPr>
        <w:ind w:left="0" w:right="0" w:firstLine="709"/>
        <w:jc w:val="both"/>
        <w:widowControl w:val="off"/>
      </w:pPr>
      <w:r>
        <w:t xml:space="preserve">1.2. Дополнит</w:t>
      </w:r>
      <w:r>
        <w:t xml:space="preserve">ь перечнем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Печенгского муниципального округа</w:t>
      </w:r>
      <w:r>
        <w:t xml:space="preserve"> (далее – Перечень услуг)</w:t>
      </w:r>
      <w:r>
        <w:t xml:space="preserve">, согласно приложению № 1 к настоящему постановлению.</w:t>
      </w:r>
      <w:r/>
    </w:p>
    <w:p>
      <w:pPr>
        <w:ind w:right="0" w:firstLine="709"/>
        <w:jc w:val="both"/>
        <w:spacing w:after="0" w:afterAutospacing="0" w:line="240" w:lineRule="auto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uppressLineNumbers w:val="0"/>
      </w:pPr>
      <w:r>
        <w:t xml:space="preserve">2. Внести в </w:t>
      </w:r>
      <w:hyperlink r:id="rId13" w:tooltip="consultantplus://offline/ref=F3EFAA96FFEBEB5B9BE1A5E56E23935CCC6D4ABEAA81AFC7A97074D9F4A0B9236EF413D99A27A59AC4563C90B07EF045B9DF9818F4D0F171B1PBP" w:history="1">
        <w:r>
          <w:rPr>
            <w:rStyle w:val="879"/>
            <w:color w:val="auto"/>
            <w:u w:val="none"/>
          </w:rPr>
          <w:t xml:space="preserve">Порядок</w:t>
        </w:r>
      </w:hyperlink>
      <w:r>
        <w:t xml:space="preserve"> формирования муниципальных социальных заказов на оказание </w:t>
      </w:r>
      <w:r>
        <w:rPr>
          <w:iCs/>
        </w:rPr>
        <w:t xml:space="preserve">муниципальных услуг</w:t>
      </w:r>
      <w:r>
        <w:t xml:space="preserve"> в социальной сфере, отнесенных к полномочиям </w:t>
      </w:r>
      <w:r>
        <w:rPr>
          <w:bCs/>
        </w:rPr>
        <w:t xml:space="preserve">органов местного самоуправления </w:t>
      </w:r>
      <w:r>
        <w:t xml:space="preserve">Печенгского муниципального округа (далее - Порядок) следующие изменения:</w:t>
      </w:r>
      <w:r/>
    </w:p>
    <w:p>
      <w:pPr>
        <w:ind w:right="0" w:firstLine="709"/>
        <w:jc w:val="both"/>
        <w:spacing w:after="0" w:afterAutospacing="0" w:line="240" w:lineRule="auto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uppressLineNumbers w:val="0"/>
      </w:pPr>
      <w:r>
        <w:t xml:space="preserve">2.1. Пункт 1 изложить в следующей редакции:</w:t>
      </w:r>
      <w:r/>
    </w:p>
    <w:p>
      <w:pPr>
        <w:pStyle w:val="889"/>
        <w:ind w:right="0"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</w:rPr>
        <w:t xml:space="preserve">«1. Настоящий Порядок определяет:</w:t>
      </w:r>
      <w:bookmarkStart w:id="0" w:name="P53"/>
      <w:r/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порядок формирования и утверждения муниципальных социальных заказов на оказание муниципальных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услуг в социальной сфере, отнесенных к полномочиям органов </w:t>
      </w:r>
      <w:r>
        <w:rPr>
          <w:rFonts w:ascii="Times New Roman" w:hAnsi="Times New Roman"/>
          <w:bCs/>
          <w:sz w:val="24"/>
          <w:szCs w:val="24"/>
        </w:rPr>
        <w:t xml:space="preserve">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Печенгского муниципального округа (далее соответственно – муниципальный социальный заказ, муниципальная услуга в социальной сфере);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органы местного самоуправления Печенгского муниципального округа, уполномоченные на формирование муниципальных социальных заказов;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форму и структуру муниципального социального заказа;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правила выбора способа (способов) определения исполнителя услуг из числа способов, установленных частью 3 статьи 7 Федерального закона «О государственном (муниципальном) социальном заказе на оказание государственных (муниципальных) ус</w:t>
      </w:r>
      <w:r>
        <w:rPr>
          <w:rFonts w:ascii="Times New Roman" w:hAnsi="Times New Roman"/>
          <w:sz w:val="24"/>
          <w:szCs w:val="24"/>
        </w:rPr>
        <w:t xml:space="preserve">луг в социальной сфере» (далее - Федеральный закон № 189-ФЗ), в том числе определение объема оказания муниципальных услуг в социальной сфере на основании муниципального задания на оказание муниципальных услуг (выполнение работ), включаемого в муниципальный</w:t>
      </w:r>
      <w:r>
        <w:rPr>
          <w:rFonts w:ascii="Times New Roman" w:hAnsi="Times New Roman"/>
          <w:sz w:val="24"/>
          <w:szCs w:val="24"/>
        </w:rPr>
        <w:t xml:space="preserve"> социальный заказ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если способ (</w:t>
      </w:r>
      <w:r>
        <w:rPr>
          <w:rFonts w:ascii="Times New Roman" w:hAnsi="Times New Roman"/>
          <w:sz w:val="24"/>
          <w:szCs w:val="24"/>
        </w:rPr>
        <w:t xml:space="preserve">способы) определения исполнителей услуг не определен (не определены) федеральными законами;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правила внесения изменений в муниципальные социальные заказы;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правила осуществления уполномоченным органом </w:t>
      </w:r>
      <w:r>
        <w:rPr>
          <w:rFonts w:ascii="Times New Roman" w:hAnsi="Times New Roman"/>
          <w:sz w:val="24"/>
          <w:szCs w:val="24"/>
        </w:rPr>
        <w:t xml:space="preserve">контроля за</w:t>
      </w:r>
      <w:r>
        <w:rPr>
          <w:rFonts w:ascii="Times New Roman" w:hAnsi="Times New Roman"/>
          <w:sz w:val="24"/>
          <w:szCs w:val="24"/>
        </w:rPr>
        <w:t xml:space="preserve"> оказанием муниципальных услуг в социальной сфере: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показатели эффективности организации оказания муниципальных услуг в социальной сфере, при </w:t>
      </w:r>
      <w:r>
        <w:rPr>
          <w:rFonts w:ascii="Times New Roman" w:hAnsi="Times New Roman"/>
          <w:sz w:val="24"/>
          <w:szCs w:val="24"/>
        </w:rPr>
        <w:t xml:space="preserve">организации</w:t>
      </w:r>
      <w:r>
        <w:rPr>
          <w:rFonts w:ascii="Times New Roman" w:hAnsi="Times New Roman"/>
          <w:sz w:val="24"/>
          <w:szCs w:val="24"/>
        </w:rPr>
        <w:t xml:space="preserve"> оказания которых планируется определять исполнителей услуг по результатам отбора исполнителей услуг, значения таких показателей и план достижения таких показателей с учетом особенностей, установленных частью 8 статьи 6 Федерального закона №189-ФЗ».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 уполномоченным органом в целях настоящего Порядка понимается </w:t>
      </w:r>
      <w:r>
        <w:rPr>
          <w:rFonts w:ascii="Times New Roman" w:hAnsi="Times New Roman"/>
          <w:iCs/>
          <w:sz w:val="24"/>
          <w:szCs w:val="24"/>
        </w:rPr>
        <w:t xml:space="preserve">орган местного самоуправления Печенгского муниципального округа, утверждающий муниципальный </w:t>
      </w:r>
      <w:r>
        <w:rPr>
          <w:rFonts w:ascii="Times New Roman" w:hAnsi="Times New Roman"/>
          <w:sz w:val="24"/>
          <w:szCs w:val="24"/>
        </w:rPr>
        <w:t xml:space="preserve">социальный заказ и обеспечивающий предоставление муниципальных услуг потребителям </w:t>
      </w:r>
      <w:r>
        <w:rPr>
          <w:rFonts w:ascii="Times New Roman" w:hAnsi="Times New Roman"/>
          <w:iCs/>
          <w:sz w:val="24"/>
          <w:szCs w:val="24"/>
        </w:rPr>
        <w:t xml:space="preserve">муниципальных у</w:t>
      </w:r>
      <w:r>
        <w:rPr>
          <w:rFonts w:ascii="Times New Roman" w:hAnsi="Times New Roman"/>
          <w:sz w:val="24"/>
          <w:szCs w:val="24"/>
        </w:rPr>
        <w:t xml:space="preserve">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услуг, и установленным муниципальным социальным заказом.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Иные понятия, применяемые в настоящем Порядке, используются в значениях, указанных в Федеральном законе № 189-ФЗ.».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9"/>
        <w:ind w:firstLine="709"/>
        <w:jc w:val="both"/>
        <w:spacing w:after="0" w:afterAutospacing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 В пункте 6 слова «согласно приложению к настоящему порядку» заменить словами «согласно приложению № 1 к настоящему порядку (далее - приложению к настоящему порядку)».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contextualSpacing/>
        <w:ind w:left="0" w:firstLine="709"/>
        <w:jc w:val="both"/>
        <w:spacing w:after="0" w:afterAutospacing="0" w:line="240" w:lineRule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t xml:space="preserve">2.3</w:t>
      </w:r>
      <w:r>
        <w:t xml:space="preserve">. В абзаце первом пункта 11 слова «если такой способ не определен федеральными законами, решениями Президента Российской Федер</w:t>
      </w:r>
      <w:r>
        <w:t xml:space="preserve">ации, Правительства Российской Федерации, законами Мурманской области, нормативными правовыми актами Правительства Мурманской области» заменить словами «если способ (способы) определения исполнителей услуг не определен (не определены) федеральными законами</w:t>
      </w:r>
      <w:r>
        <w:t xml:space="preserve">:</w:t>
      </w:r>
      <w:bookmarkStart w:id="1" w:name="_GoBack"/>
      <w:r/>
      <w:bookmarkEnd w:id="1"/>
      <w:r>
        <w:t xml:space="preserve">».</w:t>
      </w:r>
      <w:r/>
    </w:p>
    <w:p>
      <w:pPr>
        <w:pStyle w:val="849"/>
        <w:contextualSpacing/>
        <w:ind w:left="0" w:firstLine="709"/>
        <w:jc w:val="both"/>
        <w:spacing w:after="0" w:afterAutospacing="0" w:line="240" w:lineRule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t xml:space="preserve">2.4</w:t>
      </w:r>
      <w:r>
        <w:t xml:space="preserve">. В</w:t>
      </w:r>
      <w:r>
        <w:t xml:space="preserve"> пункте 17 слова «в порядке, установленном Министерством финансов Российской Федерации</w:t>
      </w:r>
      <w:r>
        <w:t xml:space="preserve">» заменить словами </w:t>
      </w:r>
      <w:r>
        <w:t xml:space="preserve">«в соответствии с порядком разме</w:t>
      </w:r>
      <w:r>
        <w:t xml:space="preserve">щения такой информации, установленным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 и банковской деятельности».</w:t>
      </w:r>
      <w:r/>
    </w:p>
    <w:p>
      <w:pPr>
        <w:pStyle w:val="849"/>
        <w:contextualSpacing/>
        <w:ind w:left="0" w:firstLine="709"/>
        <w:jc w:val="both"/>
        <w:spacing w:after="0" w:afterAutospacing="0" w:line="240" w:lineRule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t xml:space="preserve">2.5</w:t>
      </w:r>
      <w:r>
        <w:t xml:space="preserve">. Дополнить пунктом 32 следующего содержания:</w:t>
      </w:r>
      <w:r/>
    </w:p>
    <w:p>
      <w:pPr>
        <w:pStyle w:val="849"/>
        <w:contextualSpacing/>
        <w:ind w:left="0" w:firstLine="709"/>
        <w:jc w:val="both"/>
        <w:spacing w:after="0" w:afterAutospacing="0" w:line="240" w:lineRule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t xml:space="preserve">«32. Показатели эффективности организации оказания муниципальных услуг </w:t>
      </w:r>
      <w:r>
        <w:t xml:space="preserve">в</w:t>
      </w:r>
      <w:r>
        <w:t xml:space="preserve"> социальной сфере, при организации </w:t>
      </w:r>
      <w:r>
        <w:t xml:space="preserve">оказания</w:t>
      </w:r>
      <w:r>
        <w:t xml:space="preserve"> которых планируется определять испол</w:t>
      </w:r>
      <w:r>
        <w:t xml:space="preserve">нителей услуг по результатам отбора исполнителей услуг, значения таких показателей и план достижения по годам исполнения муниципального социального заказа устанавливаются в соответствии с Приложением №2 к настоящему Порядку и подлежат размещению на едином </w:t>
      </w:r>
      <w:r>
        <w:t xml:space="preserve">портале бюджетной системы Российской Федерации в информационно-телекоммуникационной сети «Интернет».</w:t>
      </w:r>
      <w:r/>
    </w:p>
    <w:p>
      <w:pPr>
        <w:pStyle w:val="849"/>
        <w:contextualSpacing/>
        <w:ind w:left="0" w:firstLine="709"/>
        <w:jc w:val="both"/>
        <w:spacing w:after="0" w:afterAutospacing="0" w:line="240" w:lineRule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t xml:space="preserve">2.6</w:t>
      </w:r>
      <w:r>
        <w:t xml:space="preserve">. Дополнить Порядок Приложением № 2 «</w:t>
      </w:r>
      <w:r>
        <w:rPr>
          <w:rFonts w:eastAsia="Calibri"/>
          <w:bCs/>
          <w:iCs/>
        </w:rPr>
        <w:t xml:space="preserve">Показатели эффективности</w:t>
      </w:r>
      <w:r>
        <w:rPr>
          <w:rFonts w:eastAsia="Calibri"/>
          <w:b/>
          <w:iCs/>
        </w:rPr>
        <w:t xml:space="preserve"> </w:t>
      </w:r>
      <w:r>
        <w:t xml:space="preserve">организации оказания муниципальных услуг в социальной сфере, при </w:t>
      </w:r>
      <w:r>
        <w:t xml:space="preserve">организации</w:t>
      </w:r>
      <w:r>
        <w:t xml:space="preserve"> оказания которых планируется определять исполнителей услуг по результатам отбора исполнителей услуг, значения таких показателей и план достижения по годам исполнения муниципального социального заказа» согласно Приложению № 2 к настоящему постановлению.</w:t>
      </w:r>
      <w:r/>
    </w:p>
    <w:p>
      <w:pPr>
        <w:pStyle w:val="849"/>
        <w:contextualSpacing/>
        <w:ind w:left="0" w:firstLine="709"/>
        <w:jc w:val="both"/>
        <w:spacing w:after="0" w:afterAutospacing="0" w:line="240" w:lineRule="auto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t xml:space="preserve">2.7</w:t>
      </w:r>
      <w:r>
        <w:t xml:space="preserve">. Приложение к порядку «Муниципальный социальный заказ на оказание муниципальных услуг в социальной сфере на 20__ год и на плановый период 20__ - 20__ годов» считать Приложением №1</w:t>
      </w:r>
      <w:r>
        <w:t xml:space="preserve"> к Порядку</w:t>
      </w:r>
      <w:r>
        <w:t xml:space="preserve">.</w:t>
      </w:r>
      <w:r/>
    </w:p>
    <w:p>
      <w:pPr>
        <w:ind w:right="0" w:firstLine="709"/>
        <w:jc w:val="both"/>
        <w:spacing w:after="0" w:afterAutospacing="0" w:line="240" w:lineRule="auto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uppressLineNumbers w:val="0"/>
      </w:pPr>
      <w:r>
        <w:t xml:space="preserve">3. Отделу образования администрации Печенгского муниципального округа (Никитина И.В.) обеспечить размещение информации о Перечне услуг на едином портале бюджетной системы Российской Федерации в информационной-телекоммуникационной сети «Интернет».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t xml:space="preserve">4. Настоящее постановление вступает в силу после его опубликования в газете «Печенга» и подлежит размещению на официальном сайте Печенгского муниципального округа </w:t>
      </w:r>
      <w:hyperlink r:id="rId14" w:tooltip="https://pechengamr.gov-murman.ru/" w:history="1">
        <w:r>
          <w:rPr>
            <w:rStyle w:val="879"/>
            <w:color w:val="000000"/>
          </w:rPr>
          <w:t xml:space="preserve">https://pechengamr.gov-murman.ru/</w:t>
        </w:r>
      </w:hyperlink>
      <w:r>
        <w:t xml:space="preserve">.</w:t>
      </w:r>
      <w:r/>
    </w:p>
    <w:p>
      <w:pPr>
        <w:pStyle w:val="850"/>
        <w:ind w:left="0" w:right="0" w:firstLine="709"/>
        <w:spacing w:line="240" w:lineRule="auto"/>
      </w:pPr>
      <w:r/>
      <w:r/>
    </w:p>
    <w:p>
      <w:pPr>
        <w:pStyle w:val="850"/>
        <w:spacing w:line="276" w:lineRule="auto"/>
      </w:pPr>
      <w:r/>
      <w:r/>
    </w:p>
    <w:p>
      <w:pPr>
        <w:pStyle w:val="850"/>
        <w:spacing w:line="276" w:lineRule="auto"/>
        <w:rPr>
          <w:b/>
          <w:bCs/>
        </w:rPr>
      </w:pPr>
      <w:r>
        <w:t xml:space="preserve">Глава Печенгского муниципального округа                                                             А.В. Кузнецов</w:t>
      </w:r>
      <w:r>
        <w:rPr>
          <w:b/>
          <w:bCs/>
        </w:rPr>
      </w:r>
      <w:r>
        <w:rPr>
          <w:b/>
          <w:bCs/>
        </w:rPr>
      </w:r>
    </w:p>
    <w:p>
      <w:pPr>
        <w:pStyle w:val="850"/>
      </w:pPr>
      <w:r/>
      <w:r/>
    </w:p>
    <w:p>
      <w:pPr>
        <w:jc w:val="righ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b/>
        </w:rPr>
        <w:pBdr>
          <w:top w:val="none" w:color="000000" w:sz="4" w:space="5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color w:val="000000" w:themeColor="text1"/>
          <w:sz w:val="20"/>
          <w:szCs w:val="20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color w:val="000000" w:themeColor="text1"/>
          <w:sz w:val="20"/>
          <w:szCs w:val="20"/>
        </w:rPr>
      </w:r>
      <w:r>
        <w:rPr>
          <w:color w:val="000000" w:themeColor="text1"/>
          <w:sz w:val="20"/>
          <w:szCs w:val="20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0"/>
        <w:jc w:val="left"/>
        <w:tabs>
          <w:tab w:val="left" w:pos="709" w:leader="none"/>
          <w:tab w:val="left" w:pos="1134" w:leader="none"/>
          <w:tab w:val="left" w:pos="1276" w:leader="none"/>
          <w:tab w:val="left" w:pos="1418" w:leader="none"/>
        </w:tabs>
        <w:rPr>
          <w:sz w:val="20"/>
          <w:szCs w:val="20"/>
          <w:highlight w:val="none"/>
        </w:rPr>
        <w:pBdr>
          <w:top w:val="none" w:color="000000" w:sz="4" w:space="3"/>
        </w:pBdr>
      </w:pPr>
      <w:r>
        <w:rPr>
          <w:b/>
          <w:sz w:val="20"/>
          <w:szCs w:val="20"/>
          <w:highlight w:val="none"/>
        </w:rPr>
      </w:r>
      <w:r>
        <w:rPr>
          <w:sz w:val="20"/>
          <w:szCs w:val="20"/>
        </w:rPr>
        <w:t xml:space="preserve">Никитина И.В.</w: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5-05-72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sectPr>
      <w:headerReference w:type="even" r:id="rId9"/>
      <w:headerReference w:type="first" r:id="rId10"/>
      <w:footnotePr/>
      <w:endnotePr/>
      <w:type w:val="nextPage"/>
      <w:pgSz w:w="11906" w:h="16838" w:orient="portrait"/>
      <w:pgMar w:top="709" w:right="707" w:bottom="851" w:left="156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895"/>
      </w:pPr>
      <w:r>
        <w:separator/>
      </w:r>
      <w:r/>
    </w:p>
  </w:footnote>
  <w:footnote w:type="continuationSeparator" w:id="0">
    <w:p>
      <w:pPr>
        <w:pStyle w:val="895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right="128"/>
      <w:jc w:val="center"/>
      <w:spacing w:line="259" w:lineRule="auto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 xml:space="preserve">12</w:t>
    </w:r>
    <w:r>
      <w:rPr>
        <w:sz w:val="20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right="128"/>
      <w:jc w:val="center"/>
      <w:spacing w:line="259" w:lineRule="auto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 xml:space="preserve">2</w:t>
    </w:r>
    <w:r>
      <w:rPr>
        <w:sz w:val="20"/>
      </w:rP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5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37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09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81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3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5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97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69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2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65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5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7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9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1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3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5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7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3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0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9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6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multiLevelType w:val="hybridMultilevel"/>
    <w:lvl w:ilvl="0">
      <w:start w:val="32"/>
      <w:numFmt w:val="decimal"/>
      <w:isLgl w:val="false"/>
      <w:suff w:val="tab"/>
      <w:lvlText w:val="%1."/>
      <w:lvlJc w:val="left"/>
      <w:pPr>
        <w:ind w:left="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5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37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09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81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3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5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97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69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0"/>
        <w:szCs w:val="30"/>
        <w:u w:val="none"/>
        <w:shd w:val="clear" w:color="auto" w:fill="auto"/>
        <w:vertAlign w:val="baseline"/>
      </w:rPr>
    </w:lvl>
  </w:abstractNum>
  <w:abstractNum w:abstractNumId="8">
    <w:multiLevelType w:val="hybridMultilevel"/>
    <w:lvl w:ilvl="0">
      <w:start w:val="20"/>
      <w:numFmt w:val="decimal"/>
      <w:isLgl w:val="false"/>
      <w:suff w:val="tab"/>
      <w:lvlText w:val="%1."/>
      <w:lvlJc w:val="left"/>
      <w:pPr>
        <w:ind w:left="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3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35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07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79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1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3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95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67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4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7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9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55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58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3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5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7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1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3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5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36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360"/>
      </w:pPr>
    </w:lvl>
  </w:abstractNum>
  <w:abstractNum w:abstractNumId="14">
    <w:multiLevelType w:val="hybridMultilevel"/>
    <w:lvl w:ilvl="0">
      <w:start w:val="40"/>
      <w:numFmt w:val="decimal"/>
      <w:isLgl w:val="false"/>
      <w:suff w:val="tab"/>
      <w:lvlText w:val="%1."/>
      <w:lvlJc w:val="left"/>
      <w:pPr>
        <w:ind w:left="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35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07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79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1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95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67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310" w:hanging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03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5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7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9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1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3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5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7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36" w:hanging="10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0" w:hanging="36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9"/>
  </w:num>
  <w:num w:numId="5">
    <w:abstractNumId w:val="12"/>
  </w:num>
  <w:num w:numId="6">
    <w:abstractNumId w:val="8"/>
  </w:num>
  <w:num w:numId="7">
    <w:abstractNumId w:val="5"/>
  </w:num>
  <w:num w:numId="8">
    <w:abstractNumId w:val="7"/>
  </w:num>
  <w:num w:numId="9">
    <w:abstractNumId w:val="14"/>
  </w:num>
  <w:num w:numId="10">
    <w:abstractNumId w:val="0"/>
  </w:num>
  <w:num w:numId="11">
    <w:abstractNumId w:val="15"/>
  </w:num>
  <w:num w:numId="12">
    <w:abstractNumId w:val="17"/>
  </w:num>
  <w:num w:numId="13">
    <w:abstractNumId w:val="16"/>
  </w:num>
  <w:num w:numId="14">
    <w:abstractNumId w:val="4"/>
  </w:num>
  <w:num w:numId="15">
    <w:abstractNumId w:val="6"/>
  </w:num>
  <w:num w:numId="16">
    <w:abstractNumId w:val="13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8">
    <w:name w:val="Caption Char"/>
    <w:basedOn w:val="955"/>
    <w:link w:val="856"/>
    <w:uiPriority w:val="99"/>
  </w:style>
  <w:style w:type="table" w:styleId="719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rPr>
      <w:rFonts w:ascii="Times New Roman" w:hAnsi="Times New Roman" w:eastAsia="Times New Roman"/>
      <w:sz w:val="24"/>
      <w:szCs w:val="24"/>
      <w:lang w:eastAsia="ru-RU" w:bidi="ar-SA"/>
    </w:rPr>
  </w:style>
  <w:style w:type="paragraph" w:styleId="837">
    <w:name w:val="Heading 1"/>
    <w:basedOn w:val="836"/>
    <w:next w:val="836"/>
    <w:link w:val="90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b/>
      <w:bCs/>
      <w:color w:val="000000" w:themeColor="text1"/>
      <w:sz w:val="48"/>
      <w:szCs w:val="48"/>
    </w:rPr>
  </w:style>
  <w:style w:type="paragraph" w:styleId="838">
    <w:name w:val="Heading 2"/>
    <w:basedOn w:val="836"/>
    <w:next w:val="836"/>
    <w:link w:val="910"/>
    <w:uiPriority w:val="9"/>
    <w:unhideWhenUsed/>
    <w:qFormat/>
    <w:pPr>
      <w:keepLines/>
      <w:keepNext/>
      <w:spacing w:before="200"/>
      <w:outlineLvl w:val="1"/>
    </w:pPr>
    <w:rPr>
      <w:rFonts w:ascii="Arial" w:hAnsi="Arial" w:eastAsia="Arial" w:cs="Arial"/>
      <w:b/>
      <w:bCs/>
      <w:color w:val="000000" w:themeColor="text1"/>
      <w:sz w:val="40"/>
    </w:rPr>
  </w:style>
  <w:style w:type="paragraph" w:styleId="839">
    <w:name w:val="Heading 3"/>
    <w:basedOn w:val="836"/>
    <w:next w:val="836"/>
    <w:link w:val="911"/>
    <w:uiPriority w:val="9"/>
    <w:unhideWhenUsed/>
    <w:qFormat/>
    <w:pPr>
      <w:keepLines/>
      <w:keepNext/>
      <w:spacing w:before="200"/>
      <w:outlineLvl w:val="2"/>
    </w:pPr>
    <w:rPr>
      <w:rFonts w:ascii="Arial" w:hAnsi="Arial" w:eastAsia="Arial" w:cs="Arial"/>
      <w:b/>
      <w:bCs/>
      <w:i/>
      <w:iCs/>
      <w:color w:val="000000" w:themeColor="text1"/>
      <w:sz w:val="36"/>
      <w:szCs w:val="36"/>
    </w:rPr>
  </w:style>
  <w:style w:type="paragraph" w:styleId="840">
    <w:name w:val="Heading 4"/>
    <w:basedOn w:val="836"/>
    <w:next w:val="836"/>
    <w:link w:val="912"/>
    <w:uiPriority w:val="9"/>
    <w:unhideWhenUsed/>
    <w:qFormat/>
    <w:pPr>
      <w:keepLines/>
      <w:keepNext/>
      <w:spacing w:before="200"/>
      <w:outlineLvl w:val="3"/>
    </w:pPr>
    <w:rPr>
      <w:rFonts w:ascii="Arial" w:hAnsi="Arial" w:eastAsia="Arial" w:cs="Arial"/>
      <w:color w:val="232323"/>
      <w:sz w:val="32"/>
      <w:szCs w:val="32"/>
    </w:rPr>
  </w:style>
  <w:style w:type="paragraph" w:styleId="841">
    <w:name w:val="Heading 5"/>
    <w:basedOn w:val="836"/>
    <w:next w:val="836"/>
    <w:link w:val="913"/>
    <w:uiPriority w:val="9"/>
    <w:unhideWhenUsed/>
    <w:qFormat/>
    <w:pPr>
      <w:keepLines/>
      <w:keepNext/>
      <w:spacing w:before="200"/>
      <w:outlineLvl w:val="4"/>
    </w:pPr>
    <w:rPr>
      <w:rFonts w:ascii="Arial" w:hAnsi="Arial" w:eastAsia="Arial" w:cs="Arial"/>
      <w:b/>
      <w:bCs/>
      <w:color w:val="444444"/>
      <w:sz w:val="28"/>
      <w:szCs w:val="28"/>
    </w:rPr>
  </w:style>
  <w:style w:type="paragraph" w:styleId="842">
    <w:name w:val="Heading 6"/>
    <w:basedOn w:val="836"/>
    <w:next w:val="836"/>
    <w:link w:val="914"/>
    <w:uiPriority w:val="9"/>
    <w:unhideWhenUsed/>
    <w:qFormat/>
    <w:pPr>
      <w:keepLines/>
      <w:keepNext/>
      <w:spacing w:before="200"/>
      <w:outlineLvl w:val="5"/>
    </w:pPr>
    <w:rPr>
      <w:rFonts w:ascii="Arial" w:hAnsi="Arial" w:eastAsia="Arial" w:cs="Arial"/>
      <w:i/>
      <w:iCs/>
      <w:color w:val="232323"/>
      <w:sz w:val="28"/>
      <w:szCs w:val="28"/>
    </w:rPr>
  </w:style>
  <w:style w:type="paragraph" w:styleId="843">
    <w:name w:val="Heading 7"/>
    <w:basedOn w:val="836"/>
    <w:next w:val="836"/>
    <w:link w:val="915"/>
    <w:uiPriority w:val="9"/>
    <w:unhideWhenUsed/>
    <w:qFormat/>
    <w:pPr>
      <w:keepLines/>
      <w:keepNext/>
      <w:spacing w:before="200"/>
      <w:outlineLvl w:val="6"/>
    </w:pPr>
    <w:rPr>
      <w:rFonts w:ascii="Arial" w:hAnsi="Arial" w:eastAsia="Arial" w:cs="Arial"/>
      <w:b/>
      <w:bCs/>
      <w:color w:val="606060"/>
    </w:rPr>
  </w:style>
  <w:style w:type="paragraph" w:styleId="844">
    <w:name w:val="Heading 8"/>
    <w:basedOn w:val="836"/>
    <w:next w:val="836"/>
    <w:link w:val="916"/>
    <w:uiPriority w:val="9"/>
    <w:unhideWhenUsed/>
    <w:qFormat/>
    <w:pPr>
      <w:keepLines/>
      <w:keepNext/>
      <w:spacing w:before="200"/>
      <w:outlineLvl w:val="7"/>
    </w:pPr>
    <w:rPr>
      <w:rFonts w:ascii="Arial" w:hAnsi="Arial" w:eastAsia="Arial" w:cs="Arial"/>
      <w:color w:val="444444"/>
    </w:rPr>
  </w:style>
  <w:style w:type="paragraph" w:styleId="845">
    <w:name w:val="Heading 9"/>
    <w:basedOn w:val="836"/>
    <w:next w:val="836"/>
    <w:link w:val="917"/>
    <w:uiPriority w:val="9"/>
    <w:unhideWhenUsed/>
    <w:qFormat/>
    <w:pPr>
      <w:keepLines/>
      <w:keepNext/>
      <w:spacing w:before="200"/>
      <w:outlineLvl w:val="8"/>
    </w:pPr>
    <w:rPr>
      <w:rFonts w:ascii="Arial" w:hAnsi="Arial" w:eastAsia="Arial" w:cs="Arial"/>
      <w:i/>
      <w:iCs/>
      <w:color w:val="444444"/>
      <w:sz w:val="23"/>
      <w:szCs w:val="23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paragraph" w:styleId="849">
    <w:name w:val="List Paragraph"/>
    <w:basedOn w:val="836"/>
    <w:uiPriority w:val="34"/>
    <w:qFormat/>
    <w:pPr>
      <w:ind w:left="720"/>
    </w:pPr>
  </w:style>
  <w:style w:type="paragraph" w:styleId="850">
    <w:name w:val="No Spacing"/>
    <w:basedOn w:val="836"/>
    <w:uiPriority w:val="1"/>
    <w:qFormat/>
    <w:rPr>
      <w:color w:val="000000"/>
    </w:rPr>
  </w:style>
  <w:style w:type="paragraph" w:styleId="851">
    <w:name w:val="Title"/>
    <w:basedOn w:val="836"/>
    <w:next w:val="836"/>
    <w:link w:val="918"/>
    <w:uiPriority w:val="10"/>
    <w:qFormat/>
    <w:pPr>
      <w:spacing w:before="300" w:after="80"/>
      <w:pBdr>
        <w:bottom w:val="single" w:color="000000" w:sz="24" w:space="0"/>
      </w:pBdr>
    </w:pPr>
    <w:rPr>
      <w:b/>
      <w:color w:val="000000"/>
      <w:sz w:val="72"/>
    </w:rPr>
  </w:style>
  <w:style w:type="paragraph" w:styleId="852">
    <w:name w:val="Subtitle"/>
    <w:basedOn w:val="836"/>
    <w:next w:val="836"/>
    <w:link w:val="919"/>
    <w:uiPriority w:val="11"/>
    <w:qFormat/>
    <w:rPr>
      <w:i/>
      <w:color w:val="444444"/>
      <w:sz w:val="52"/>
    </w:rPr>
  </w:style>
  <w:style w:type="paragraph" w:styleId="853">
    <w:name w:val="Quote"/>
    <w:basedOn w:val="836"/>
    <w:next w:val="836"/>
    <w:link w:val="920"/>
    <w:uiPriority w:val="29"/>
    <w:qFormat/>
    <w:pPr>
      <w:ind w:left="3402"/>
      <w:pBdr>
        <w:left w:val="single" w:color="A6A6A6" w:sz="12" w:space="11"/>
        <w:bottom w:val="single" w:color="A6A6A6" w:sz="12" w:space="3"/>
      </w:pBdr>
    </w:pPr>
    <w:rPr>
      <w:i/>
      <w:color w:val="373737"/>
      <w:sz w:val="18"/>
    </w:rPr>
  </w:style>
  <w:style w:type="paragraph" w:styleId="854">
    <w:name w:val="Intense Quote"/>
    <w:basedOn w:val="836"/>
    <w:next w:val="836"/>
    <w:link w:val="922"/>
    <w:uiPriority w:val="30"/>
    <w:qFormat/>
    <w:pPr>
      <w:ind w:left="567" w:right="567"/>
      <w:shd w:val="clear" w:color="auto" w:fill="d9d9d9"/>
      <w:pBdr>
        <w:top w:val="single" w:color="808080" w:sz="4" w:space="3"/>
        <w:left w:val="single" w:color="808080" w:sz="4" w:space="11"/>
        <w:bottom w:val="single" w:color="808080" w:sz="4" w:space="3"/>
        <w:right w:val="single" w:color="808080" w:sz="4" w:space="11"/>
      </w:pBdr>
    </w:pPr>
    <w:rPr>
      <w:i/>
      <w:color w:val="606060"/>
      <w:sz w:val="19"/>
    </w:rPr>
  </w:style>
  <w:style w:type="paragraph" w:styleId="855">
    <w:name w:val="Header"/>
    <w:basedOn w:val="836"/>
    <w:link w:val="953"/>
    <w:uiPriority w:val="99"/>
    <w:unhideWhenUsed/>
    <w:pPr>
      <w:tabs>
        <w:tab w:val="center" w:pos="7143" w:leader="none"/>
        <w:tab w:val="right" w:pos="14287" w:leader="none"/>
      </w:tabs>
    </w:pPr>
    <w:rPr>
      <w:color w:val="000000"/>
      <w:sz w:val="22"/>
    </w:rPr>
  </w:style>
  <w:style w:type="paragraph" w:styleId="856">
    <w:name w:val="Footer"/>
    <w:basedOn w:val="836"/>
    <w:link w:val="954"/>
    <w:uiPriority w:val="99"/>
    <w:unhideWhenUsed/>
    <w:pPr>
      <w:tabs>
        <w:tab w:val="center" w:pos="7143" w:leader="none"/>
        <w:tab w:val="right" w:pos="14287" w:leader="none"/>
      </w:tabs>
    </w:pPr>
    <w:rPr>
      <w:color w:val="000000"/>
      <w:sz w:val="22"/>
    </w:rPr>
  </w:style>
  <w:style w:type="table" w:styleId="857">
    <w:name w:val="Table Grid"/>
    <w:basedOn w:val="847"/>
    <w:uiPriority w:val="39"/>
    <w:rPr>
      <w:rFonts w:ascii="Times New Roman" w:hAnsi="Times New Roman" w:eastAsia="Times New Roman"/>
      <w:szCs w:val="20"/>
    </w:rPr>
    <w:tblPr/>
  </w:style>
  <w:style w:type="table" w:styleId="858" w:customStyle="1">
    <w:name w:val="Lined"/>
    <w:basedOn w:val="84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59" w:customStyle="1">
    <w:name w:val="Lined - Accent 1"/>
    <w:basedOn w:val="84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860" w:customStyle="1">
    <w:name w:val="Lined - Accent 2"/>
    <w:basedOn w:val="84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861" w:customStyle="1">
    <w:name w:val="Lined - Accent 3"/>
    <w:basedOn w:val="84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862" w:customStyle="1">
    <w:name w:val="Lined - Accent 4"/>
    <w:basedOn w:val="84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863" w:customStyle="1">
    <w:name w:val="Lined - Accent 5"/>
    <w:basedOn w:val="84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864" w:customStyle="1">
    <w:name w:val="Lined - Accent 6"/>
    <w:basedOn w:val="84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865" w:customStyle="1">
    <w:name w:val="Bordered"/>
    <w:basedOn w:val="847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866" w:customStyle="1">
    <w:name w:val="Bordered - Accent 1"/>
    <w:basedOn w:val="847"/>
    <w:uiPriority w:val="99"/>
    <w:tblPr>
      <w:tblStyleRowBandSize w:val="1"/>
      <w:tblStyleColBandSize w:val="1"/>
      <w:tblBorders>
        <w:top w:val="single" w:color="B8CCE4" w:sz="4" w:space="0"/>
        <w:left w:val="single" w:color="B8CCE4" w:sz="4" w:space="0"/>
        <w:bottom w:val="single" w:color="B8CCE4" w:sz="4" w:space="0"/>
        <w:right w:val="single" w:color="B8CCE4" w:sz="4" w:space="0"/>
        <w:insideH w:val="single" w:color="B8CCE4" w:sz="4" w:space="0"/>
        <w:insideV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8CCE4" w:sz="4" w:space="0"/>
          <w:left w:val="single" w:color="B8CCE4" w:sz="4" w:space="0"/>
          <w:bottom w:val="single" w:color="B8CCE4" w:sz="4" w:space="0"/>
          <w:right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867" w:customStyle="1">
    <w:name w:val="Bordered - Accent 2"/>
    <w:basedOn w:val="847"/>
    <w:uiPriority w:val="99"/>
    <w:tblPr>
      <w:tblStyleRowBandSize w:val="1"/>
      <w:tblStyleColBandSize w:val="1"/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868" w:customStyle="1">
    <w:name w:val="Bordered - Accent 3"/>
    <w:basedOn w:val="847"/>
    <w:uiPriority w:val="99"/>
    <w:tblPr>
      <w:tblStyleRowBandSize w:val="1"/>
      <w:tblStyleColBandSize w:val="1"/>
      <w:tblBorders>
        <w:top w:val="single" w:color="D6E3BC" w:sz="4" w:space="0"/>
        <w:left w:val="single" w:color="D6E3BC" w:sz="4" w:space="0"/>
        <w:bottom w:val="single" w:color="D6E3BC" w:sz="4" w:space="0"/>
        <w:right w:val="single" w:color="D6E3BC" w:sz="4" w:space="0"/>
        <w:insideH w:val="single" w:color="D6E3BC" w:sz="4" w:space="0"/>
        <w:insideV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C" w:sz="4" w:space="0"/>
          <w:left w:val="single" w:color="D6E3BC" w:sz="4" w:space="0"/>
          <w:bottom w:val="single" w:color="D6E3BC" w:sz="4" w:space="0"/>
          <w:right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869" w:customStyle="1">
    <w:name w:val="Bordered - Accent 4"/>
    <w:basedOn w:val="847"/>
    <w:uiPriority w:val="99"/>
    <w:tblPr>
      <w:tblStyleRowBandSize w:val="1"/>
      <w:tblStyleColBandSize w:val="1"/>
      <w:tblBorders>
        <w:top w:val="single" w:color="CCC0D9" w:sz="4" w:space="0"/>
        <w:left w:val="single" w:color="CCC0D9" w:sz="4" w:space="0"/>
        <w:bottom w:val="single" w:color="CCC0D9" w:sz="4" w:space="0"/>
        <w:right w:val="single" w:color="CCC0D9" w:sz="4" w:space="0"/>
        <w:insideH w:val="single" w:color="CCC0D9" w:sz="4" w:space="0"/>
        <w:insideV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CC0D9" w:sz="4" w:space="0"/>
          <w:left w:val="single" w:color="CCC0D9" w:sz="4" w:space="0"/>
          <w:bottom w:val="single" w:color="CCC0D9" w:sz="4" w:space="0"/>
          <w:right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870" w:customStyle="1">
    <w:name w:val="Bordered - Accent 5"/>
    <w:basedOn w:val="847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871" w:customStyle="1">
    <w:name w:val="Bordered - Accent 6"/>
    <w:basedOn w:val="847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872" w:customStyle="1">
    <w:name w:val="Bordered &amp; Lined"/>
    <w:basedOn w:val="847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73" w:customStyle="1">
    <w:name w:val="Bordered &amp; Lined - Accent 1"/>
    <w:basedOn w:val="847"/>
    <w:uiPriority w:val="99"/>
    <w:rPr>
      <w:color w:val="404040"/>
    </w:rPr>
    <w:tblPr>
      <w:tblStyleRowBandSize w:val="1"/>
      <w:tblStyleColBandSize w:val="1"/>
      <w:tblBorders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  <w:insideH w:val="single" w:color="1F497D" w:sz="4" w:space="0"/>
        <w:insideV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874" w:customStyle="1">
    <w:name w:val="Bordered &amp; Lined - Accent 2"/>
    <w:basedOn w:val="847"/>
    <w:uiPriority w:val="99"/>
    <w:rPr>
      <w:color w:val="404040"/>
    </w:rPr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875" w:customStyle="1">
    <w:name w:val="Bordered &amp; Lined - Accent 3"/>
    <w:basedOn w:val="847"/>
    <w:uiPriority w:val="99"/>
    <w:rPr>
      <w:color w:val="404040"/>
    </w:rPr>
    <w:tblPr>
      <w:tblStyleRowBandSize w:val="1"/>
      <w:tblStyleColBandSize w:val="1"/>
      <w:tblBorders>
        <w:top w:val="single" w:color="76923C" w:sz="4" w:space="0"/>
        <w:left w:val="single" w:color="76923C" w:sz="4" w:space="0"/>
        <w:bottom w:val="single" w:color="76923C" w:sz="4" w:space="0"/>
        <w:right w:val="single" w:color="76923C" w:sz="4" w:space="0"/>
        <w:insideH w:val="single" w:color="76923C" w:sz="4" w:space="0"/>
        <w:insideV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876" w:customStyle="1">
    <w:name w:val="Bordered &amp; Lined - Accent 4"/>
    <w:basedOn w:val="847"/>
    <w:uiPriority w:val="99"/>
    <w:rPr>
      <w:color w:val="404040"/>
    </w:rPr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877" w:customStyle="1">
    <w:name w:val="Bordered &amp; Lined - Accent 5"/>
    <w:basedOn w:val="847"/>
    <w:uiPriority w:val="99"/>
    <w:rPr>
      <w:color w:val="404040"/>
    </w:rPr>
    <w:tblPr>
      <w:tblStyleRowBandSize w:val="1"/>
      <w:tblStyleColBandSize w:val="1"/>
      <w:tblBorders>
        <w:top w:val="single" w:color="31849B" w:sz="4" w:space="0"/>
        <w:left w:val="single" w:color="31849B" w:sz="4" w:space="0"/>
        <w:bottom w:val="single" w:color="31849B" w:sz="4" w:space="0"/>
        <w:right w:val="single" w:color="31849B" w:sz="4" w:space="0"/>
        <w:insideH w:val="single" w:color="31849B" w:sz="4" w:space="0"/>
        <w:insideV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878" w:customStyle="1">
    <w:name w:val="Bordered &amp; Lined - Accent 6"/>
    <w:basedOn w:val="847"/>
    <w:uiPriority w:val="99"/>
    <w:rPr>
      <w:color w:val="404040"/>
    </w:rPr>
    <w:tblPr>
      <w:tblStyleRowBandSize w:val="1"/>
      <w:tblStyleColBandSize w:val="1"/>
      <w:tblBorders>
        <w:top w:val="single" w:color="E36C0A" w:sz="4" w:space="0"/>
        <w:left w:val="single" w:color="E36C0A" w:sz="4" w:space="0"/>
        <w:bottom w:val="single" w:color="E36C0A" w:sz="4" w:space="0"/>
        <w:right w:val="single" w:color="E36C0A" w:sz="4" w:space="0"/>
        <w:insideH w:val="single" w:color="E36C0A" w:sz="4" w:space="0"/>
        <w:insideV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879">
    <w:name w:val="Hyperlink"/>
    <w:uiPriority w:val="99"/>
    <w:rPr>
      <w:color w:val="0000ff"/>
      <w:u w:val="single"/>
    </w:rPr>
  </w:style>
  <w:style w:type="paragraph" w:styleId="880">
    <w:name w:val="footnote text"/>
    <w:basedOn w:val="836"/>
    <w:link w:val="959"/>
    <w:uiPriority w:val="99"/>
    <w:semiHidden/>
    <w:unhideWhenUsed/>
    <w:rPr>
      <w:sz w:val="20"/>
    </w:rPr>
  </w:style>
  <w:style w:type="character" w:styleId="881" w:customStyle="1">
    <w:name w:val="Footnote Text Char"/>
    <w:basedOn w:val="846"/>
    <w:uiPriority w:val="99"/>
    <w:semiHidden/>
    <w:rPr>
      <w:sz w:val="20"/>
    </w:rPr>
  </w:style>
  <w:style w:type="character" w:styleId="882">
    <w:name w:val="footnote reference"/>
    <w:basedOn w:val="846"/>
    <w:uiPriority w:val="99"/>
    <w:semiHidden/>
    <w:unhideWhenUsed/>
    <w:rPr>
      <w:vertAlign w:val="superscript"/>
    </w:rPr>
  </w:style>
  <w:style w:type="paragraph" w:styleId="883">
    <w:name w:val="Balloon Text"/>
    <w:basedOn w:val="836"/>
    <w:uiPriority w:val="99"/>
    <w:semiHidden/>
    <w:rPr>
      <w:rFonts w:ascii="Tahoma" w:hAnsi="Tahoma"/>
      <w:sz w:val="16"/>
      <w:szCs w:val="16"/>
    </w:rPr>
  </w:style>
  <w:style w:type="character" w:styleId="884" w:customStyle="1">
    <w:name w:val="Текст выноски Знак"/>
    <w:uiPriority w:val="99"/>
    <w:semiHidden/>
    <w:rPr>
      <w:rFonts w:ascii="Tahoma" w:hAnsi="Tahoma"/>
      <w:sz w:val="16"/>
      <w:szCs w:val="16"/>
      <w:lang w:val="en-US" w:eastAsia="ru-RU"/>
    </w:rPr>
  </w:style>
  <w:style w:type="paragraph" w:styleId="885">
    <w:name w:val="Normal (Web)"/>
    <w:basedOn w:val="836"/>
    <w:uiPriority w:val="99"/>
    <w:pPr>
      <w:spacing w:before="30" w:after="30"/>
    </w:pPr>
    <w:rPr>
      <w:rFonts w:ascii="Arial" w:hAnsi="Arial" w:eastAsia="Calibri"/>
      <w:color w:val="332e2d"/>
      <w:spacing w:val="2"/>
    </w:rPr>
  </w:style>
  <w:style w:type="character" w:styleId="886" w:customStyle="1">
    <w:name w:val="МОН Знак"/>
    <w:rPr>
      <w:sz w:val="24"/>
      <w:szCs w:val="24"/>
    </w:rPr>
  </w:style>
  <w:style w:type="paragraph" w:styleId="887" w:customStyle="1">
    <w:name w:val="МОН"/>
    <w:basedOn w:val="836"/>
    <w:pPr>
      <w:ind w:firstLine="709"/>
      <w:jc w:val="both"/>
      <w:spacing w:line="360" w:lineRule="auto"/>
    </w:pPr>
    <w:rPr>
      <w:rFonts w:ascii="Calibri" w:hAnsi="Calibri" w:eastAsia="Calibri"/>
      <w:lang w:val="en-US" w:eastAsia="en-US"/>
    </w:rPr>
  </w:style>
  <w:style w:type="character" w:styleId="888">
    <w:name w:val="Strong"/>
    <w:uiPriority w:val="22"/>
    <w:qFormat/>
    <w:rPr>
      <w:b/>
      <w:bCs/>
    </w:rPr>
  </w:style>
  <w:style w:type="paragraph" w:styleId="889" w:customStyle="1">
    <w:name w:val="ConsPlusNormal"/>
    <w:qFormat/>
    <w:pPr>
      <w:ind w:firstLine="720"/>
    </w:pPr>
    <w:rPr>
      <w:rFonts w:ascii="Arial" w:hAnsi="Arial" w:eastAsia="Times New Roman"/>
      <w:lang w:eastAsia="ru-RU" w:bidi="ar-SA"/>
    </w:rPr>
  </w:style>
  <w:style w:type="paragraph" w:styleId="890" w:customStyle="1">
    <w:name w:val="ConsNonformat"/>
    <w:pPr>
      <w:ind w:right="19772"/>
      <w:widowControl w:val="off"/>
    </w:pPr>
    <w:rPr>
      <w:rFonts w:ascii="Courier New" w:hAnsi="Courier New" w:eastAsia="Times New Roman"/>
      <w:lang w:eastAsia="ru-RU" w:bidi="ar-SA"/>
    </w:rPr>
  </w:style>
  <w:style w:type="paragraph" w:styleId="891" w:customStyle="1">
    <w:name w:val="ConsNormal"/>
    <w:pPr>
      <w:ind w:right="19772" w:firstLine="720"/>
      <w:widowControl w:val="off"/>
    </w:pPr>
    <w:rPr>
      <w:rFonts w:ascii="Arial" w:hAnsi="Arial" w:eastAsia="Times New Roman"/>
      <w:lang w:eastAsia="ru-RU" w:bidi="ar-SA"/>
    </w:rPr>
  </w:style>
  <w:style w:type="paragraph" w:styleId="892">
    <w:name w:val="Body Text 2"/>
    <w:basedOn w:val="836"/>
    <w:pPr>
      <w:ind w:right="5215"/>
      <w:jc w:val="both"/>
      <w:tabs>
        <w:tab w:val="left" w:pos="4500" w:leader="none"/>
        <w:tab w:val="left" w:pos="5220" w:leader="none"/>
      </w:tabs>
    </w:pPr>
    <w:rPr>
      <w:sz w:val="26"/>
      <w:szCs w:val="26"/>
    </w:rPr>
  </w:style>
  <w:style w:type="character" w:styleId="893" w:customStyle="1">
    <w:name w:val="Основной текст 2 Знак"/>
    <w:rPr>
      <w:rFonts w:ascii="Times New Roman" w:hAnsi="Times New Roman" w:eastAsia="Times New Roman"/>
      <w:sz w:val="26"/>
      <w:szCs w:val="26"/>
    </w:rPr>
  </w:style>
  <w:style w:type="numbering" w:styleId="894" w:customStyle="1">
    <w:name w:val="GenStyleDefNum"/>
  </w:style>
  <w:style w:type="paragraph" w:styleId="895" w:customStyle="1">
    <w:name w:val="GenStyleDefPar"/>
  </w:style>
  <w:style w:type="table" w:styleId="896" w:customStyle="1">
    <w:name w:val="GenStyleDefTable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97" w:customStyle="1">
    <w:name w:val="docdata"/>
    <w:basedOn w:val="836"/>
    <w:pPr>
      <w:spacing w:before="100" w:beforeAutospacing="1" w:after="100" w:afterAutospacing="1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</w:style>
  <w:style w:type="character" w:styleId="898" w:customStyle="1">
    <w:name w:val="Основной шрифт абзаца17"/>
  </w:style>
  <w:style w:type="paragraph" w:styleId="899" w:customStyle="1">
    <w:name w:val="Абзац списка1"/>
    <w:basedOn w:val="836"/>
    <w:pPr>
      <w:ind w:left="720"/>
      <w:spacing w:after="200" w:line="276" w:lineRule="auto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Calibri" w:hAnsi="Calibri" w:eastAsia="Calibri" w:cs="Calibri"/>
      <w:sz w:val="22"/>
      <w:szCs w:val="22"/>
      <w:lang w:eastAsia="en-US"/>
    </w:rPr>
  </w:style>
  <w:style w:type="paragraph" w:styleId="900" w:customStyle="1">
    <w:name w:val="Прижатый влево"/>
    <w:basedOn w:val="836"/>
    <w:next w:val="836"/>
    <w:uiPriority w:val="9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Arial" w:hAnsi="Arial" w:cs="Arial"/>
    </w:rPr>
  </w:style>
  <w:style w:type="paragraph" w:styleId="901" w:customStyle="1">
    <w:name w:val="Стиль 13 пт По ширине"/>
    <w:basedOn w:val="836"/>
    <w:pPr>
      <w:jc w:val="both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sz w:val="26"/>
      <w:szCs w:val="20"/>
    </w:rPr>
  </w:style>
  <w:style w:type="character" w:styleId="902" w:customStyle="1">
    <w:name w:val="Заголовок 1 Знак"/>
    <w:basedOn w:val="846"/>
    <w:link w:val="837"/>
    <w:uiPriority w:val="9"/>
    <w:rPr>
      <w:rFonts w:ascii="Arial" w:hAnsi="Arial" w:eastAsia="Arial" w:cs="Arial"/>
      <w:b/>
      <w:bCs/>
      <w:color w:val="000000" w:themeColor="text1"/>
      <w:sz w:val="48"/>
      <w:szCs w:val="48"/>
      <w:lang w:eastAsia="ru-RU" w:bidi="ar-SA"/>
    </w:rPr>
  </w:style>
  <w:style w:type="character" w:styleId="903" w:customStyle="1">
    <w:name w:val="Основной текст_"/>
    <w:basedOn w:val="846"/>
    <w:link w:val="904"/>
    <w:rPr>
      <w:rFonts w:ascii="Times New Roman" w:hAnsi="Times New Roman" w:eastAsia="Times New Roman"/>
      <w:shd w:val="clear" w:color="auto" w:fill="ffffff"/>
    </w:rPr>
  </w:style>
  <w:style w:type="paragraph" w:styleId="904" w:customStyle="1">
    <w:name w:val="Основной текст4"/>
    <w:basedOn w:val="836"/>
    <w:link w:val="903"/>
    <w:pPr>
      <w:jc w:val="both"/>
      <w:spacing w:before="240" w:line="307" w:lineRule="exact"/>
      <w:shd w:val="clear" w:color="auto" w:fill="ffffff"/>
      <w:widowControl w:val="off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sz w:val="20"/>
      <w:szCs w:val="22"/>
      <w:lang w:eastAsia="en-US" w:bidi="en-US"/>
    </w:rPr>
  </w:style>
  <w:style w:type="character" w:styleId="905" w:customStyle="1">
    <w:name w:val="Основной текст (4)_"/>
    <w:link w:val="906"/>
    <w:rPr>
      <w:rFonts w:ascii="Times New Roman" w:hAnsi="Times New Roman" w:eastAsia="Times New Roman"/>
      <w:b/>
      <w:bCs/>
      <w:shd w:val="clear" w:color="auto" w:fill="ffffff"/>
    </w:rPr>
  </w:style>
  <w:style w:type="paragraph" w:styleId="906" w:customStyle="1">
    <w:name w:val="Основной текст (4)"/>
    <w:basedOn w:val="836"/>
    <w:link w:val="905"/>
    <w:pPr>
      <w:ind w:hanging="2040"/>
      <w:jc w:val="right"/>
      <w:spacing w:before="420" w:line="312" w:lineRule="exact"/>
      <w:shd w:val="clear" w:color="auto" w:fill="ffffff"/>
      <w:widowControl w:val="off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b/>
      <w:bCs/>
      <w:sz w:val="20"/>
      <w:szCs w:val="22"/>
      <w:lang w:eastAsia="en-US" w:bidi="en-US"/>
    </w:rPr>
  </w:style>
  <w:style w:type="character" w:styleId="907">
    <w:name w:val="annotation reference"/>
    <w:basedOn w:val="846"/>
    <w:uiPriority w:val="99"/>
    <w:semiHidden/>
    <w:unhideWhenUsed/>
    <w:rPr>
      <w:sz w:val="16"/>
      <w:szCs w:val="16"/>
    </w:rPr>
  </w:style>
  <w:style w:type="paragraph" w:styleId="908">
    <w:name w:val="annotation text"/>
    <w:basedOn w:val="836"/>
    <w:link w:val="909"/>
    <w:uiPriority w:val="99"/>
    <w:unhideWhenUsed/>
    <w:pPr>
      <w:spacing w:after="20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09" w:customStyle="1">
    <w:name w:val="Текст примечания Знак"/>
    <w:basedOn w:val="846"/>
    <w:link w:val="908"/>
    <w:uiPriority w:val="99"/>
    <w:rPr>
      <w:rFonts w:asciiTheme="minorHAnsi" w:hAnsiTheme="minorHAnsi" w:eastAsiaTheme="minorHAnsi" w:cstheme="minorBidi"/>
      <w:szCs w:val="20"/>
      <w:lang w:bidi="ar-SA"/>
    </w:rPr>
  </w:style>
  <w:style w:type="character" w:styleId="910" w:customStyle="1">
    <w:name w:val="Заголовок 2 Знак"/>
    <w:basedOn w:val="846"/>
    <w:link w:val="838"/>
    <w:uiPriority w:val="9"/>
    <w:rPr>
      <w:rFonts w:ascii="Arial" w:hAnsi="Arial" w:eastAsia="Arial" w:cs="Arial"/>
      <w:b/>
      <w:bCs/>
      <w:color w:val="000000" w:themeColor="text1"/>
      <w:sz w:val="40"/>
      <w:szCs w:val="24"/>
      <w:lang w:eastAsia="ru-RU" w:bidi="ar-SA"/>
    </w:rPr>
  </w:style>
  <w:style w:type="character" w:styleId="911" w:customStyle="1">
    <w:name w:val="Заголовок 3 Знак"/>
    <w:basedOn w:val="846"/>
    <w:link w:val="839"/>
    <w:uiPriority w:val="9"/>
    <w:rPr>
      <w:rFonts w:ascii="Arial" w:hAnsi="Arial" w:eastAsia="Arial" w:cs="Arial"/>
      <w:b/>
      <w:bCs/>
      <w:i/>
      <w:iCs/>
      <w:color w:val="000000" w:themeColor="text1"/>
      <w:sz w:val="36"/>
      <w:szCs w:val="36"/>
      <w:lang w:eastAsia="ru-RU" w:bidi="ar-SA"/>
    </w:rPr>
  </w:style>
  <w:style w:type="character" w:styleId="912" w:customStyle="1">
    <w:name w:val="Заголовок 4 Знак"/>
    <w:basedOn w:val="846"/>
    <w:link w:val="840"/>
    <w:uiPriority w:val="9"/>
    <w:rPr>
      <w:rFonts w:ascii="Arial" w:hAnsi="Arial" w:eastAsia="Arial" w:cs="Arial"/>
      <w:color w:val="232323"/>
      <w:sz w:val="32"/>
      <w:szCs w:val="32"/>
      <w:lang w:eastAsia="ru-RU" w:bidi="ar-SA"/>
    </w:rPr>
  </w:style>
  <w:style w:type="character" w:styleId="913" w:customStyle="1">
    <w:name w:val="Заголовок 5 Знак"/>
    <w:basedOn w:val="846"/>
    <w:link w:val="841"/>
    <w:uiPriority w:val="9"/>
    <w:rPr>
      <w:rFonts w:ascii="Arial" w:hAnsi="Arial" w:eastAsia="Arial" w:cs="Arial"/>
      <w:b/>
      <w:bCs/>
      <w:color w:val="444444"/>
      <w:sz w:val="28"/>
      <w:szCs w:val="28"/>
      <w:lang w:eastAsia="ru-RU" w:bidi="ar-SA"/>
    </w:rPr>
  </w:style>
  <w:style w:type="character" w:styleId="914" w:customStyle="1">
    <w:name w:val="Заголовок 6 Знак"/>
    <w:basedOn w:val="846"/>
    <w:link w:val="842"/>
    <w:uiPriority w:val="9"/>
    <w:rPr>
      <w:rFonts w:ascii="Arial" w:hAnsi="Arial" w:eastAsia="Arial" w:cs="Arial"/>
      <w:i/>
      <w:iCs/>
      <w:color w:val="232323"/>
      <w:sz w:val="28"/>
      <w:szCs w:val="28"/>
      <w:lang w:eastAsia="ru-RU" w:bidi="ar-SA"/>
    </w:rPr>
  </w:style>
  <w:style w:type="character" w:styleId="915" w:customStyle="1">
    <w:name w:val="Заголовок 7 Знак"/>
    <w:basedOn w:val="846"/>
    <w:link w:val="843"/>
    <w:uiPriority w:val="9"/>
    <w:rPr>
      <w:rFonts w:ascii="Arial" w:hAnsi="Arial" w:eastAsia="Arial" w:cs="Arial"/>
      <w:b/>
      <w:bCs/>
      <w:color w:val="606060"/>
      <w:sz w:val="24"/>
      <w:szCs w:val="24"/>
      <w:lang w:eastAsia="ru-RU" w:bidi="ar-SA"/>
    </w:rPr>
  </w:style>
  <w:style w:type="character" w:styleId="916" w:customStyle="1">
    <w:name w:val="Заголовок 8 Знак"/>
    <w:basedOn w:val="846"/>
    <w:link w:val="844"/>
    <w:uiPriority w:val="9"/>
    <w:rPr>
      <w:rFonts w:ascii="Arial" w:hAnsi="Arial" w:eastAsia="Arial" w:cs="Arial"/>
      <w:color w:val="444444"/>
      <w:sz w:val="24"/>
      <w:szCs w:val="24"/>
      <w:lang w:eastAsia="ru-RU" w:bidi="ar-SA"/>
    </w:rPr>
  </w:style>
  <w:style w:type="character" w:styleId="917" w:customStyle="1">
    <w:name w:val="Заголовок 9 Знак"/>
    <w:basedOn w:val="846"/>
    <w:link w:val="845"/>
    <w:uiPriority w:val="9"/>
    <w:rPr>
      <w:rFonts w:ascii="Arial" w:hAnsi="Arial" w:eastAsia="Arial" w:cs="Arial"/>
      <w:i/>
      <w:iCs/>
      <w:color w:val="444444"/>
      <w:sz w:val="23"/>
      <w:szCs w:val="23"/>
      <w:lang w:eastAsia="ru-RU" w:bidi="ar-SA"/>
    </w:rPr>
  </w:style>
  <w:style w:type="character" w:styleId="918" w:customStyle="1">
    <w:name w:val="Название Знак"/>
    <w:basedOn w:val="846"/>
    <w:link w:val="851"/>
    <w:uiPriority w:val="10"/>
    <w:rPr>
      <w:rFonts w:ascii="Times New Roman" w:hAnsi="Times New Roman" w:eastAsia="Times New Roman"/>
      <w:b/>
      <w:color w:val="000000"/>
      <w:sz w:val="72"/>
      <w:szCs w:val="24"/>
      <w:lang w:eastAsia="ru-RU" w:bidi="ar-SA"/>
    </w:rPr>
  </w:style>
  <w:style w:type="character" w:styleId="919" w:customStyle="1">
    <w:name w:val="Подзаголовок Знак"/>
    <w:basedOn w:val="846"/>
    <w:link w:val="852"/>
    <w:uiPriority w:val="11"/>
    <w:rPr>
      <w:rFonts w:ascii="Times New Roman" w:hAnsi="Times New Roman" w:eastAsia="Times New Roman"/>
      <w:i/>
      <w:color w:val="444444"/>
      <w:sz w:val="52"/>
      <w:szCs w:val="24"/>
      <w:lang w:eastAsia="ru-RU" w:bidi="ar-SA"/>
    </w:rPr>
  </w:style>
  <w:style w:type="character" w:styleId="920" w:customStyle="1">
    <w:name w:val="Цитата 2 Знак"/>
    <w:basedOn w:val="846"/>
    <w:link w:val="853"/>
    <w:uiPriority w:val="29"/>
    <w:rPr>
      <w:rFonts w:ascii="Times New Roman" w:hAnsi="Times New Roman" w:eastAsia="Times New Roman"/>
      <w:i/>
      <w:color w:val="373737"/>
      <w:sz w:val="18"/>
      <w:szCs w:val="24"/>
      <w:lang w:eastAsia="ru-RU" w:bidi="ar-SA"/>
    </w:rPr>
  </w:style>
  <w:style w:type="character" w:styleId="921">
    <w:name w:val="Intense Emphasis"/>
    <w:basedOn w:val="846"/>
    <w:uiPriority w:val="21"/>
    <w:qFormat/>
    <w:rPr>
      <w:i/>
      <w:iCs/>
      <w:color w:val="365f91" w:themeColor="accent1" w:themeShade="BF"/>
    </w:rPr>
  </w:style>
  <w:style w:type="character" w:styleId="922" w:customStyle="1">
    <w:name w:val="Выделенная цитата Знак"/>
    <w:basedOn w:val="846"/>
    <w:link w:val="854"/>
    <w:uiPriority w:val="30"/>
    <w:rPr>
      <w:rFonts w:ascii="Times New Roman" w:hAnsi="Times New Roman" w:eastAsia="Times New Roman"/>
      <w:i/>
      <w:color w:val="606060"/>
      <w:sz w:val="19"/>
      <w:szCs w:val="24"/>
      <w:shd w:val="clear" w:color="auto" w:fill="d9d9d9"/>
      <w:lang w:eastAsia="ru-RU" w:bidi="ar-SA"/>
    </w:rPr>
  </w:style>
  <w:style w:type="character" w:styleId="923">
    <w:name w:val="Intense Reference"/>
    <w:basedOn w:val="846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924">
    <w:name w:val="annotation subject"/>
    <w:basedOn w:val="908"/>
    <w:next w:val="908"/>
    <w:link w:val="925"/>
    <w:uiPriority w:val="99"/>
    <w:semiHidden/>
    <w:unhideWhenUsed/>
    <w:pPr>
      <w:spacing w:after="160"/>
    </w:pPr>
    <w:rPr>
      <w:b/>
      <w:bCs/>
      <w14:ligatures w14:val="standardContextual"/>
    </w:rPr>
  </w:style>
  <w:style w:type="character" w:styleId="925" w:customStyle="1">
    <w:name w:val="Тема примечания Знак"/>
    <w:basedOn w:val="909"/>
    <w:link w:val="924"/>
    <w:uiPriority w:val="99"/>
    <w:semiHidden/>
    <w:rPr>
      <w:rFonts w:asciiTheme="minorHAnsi" w:hAnsiTheme="minorHAnsi" w:eastAsiaTheme="minorHAnsi" w:cstheme="minorBidi"/>
      <w:b/>
      <w:bCs/>
      <w:szCs w:val="20"/>
      <w:lang w:bidi="ar-SA"/>
      <w14:ligatures w14:val="standardContextual"/>
    </w:rPr>
  </w:style>
  <w:style w:type="character" w:styleId="926" w:customStyle="1">
    <w:name w:val="Unresolved Mention"/>
    <w:basedOn w:val="846"/>
    <w:uiPriority w:val="99"/>
    <w:semiHidden/>
    <w:unhideWhenUsed/>
    <w:rPr>
      <w:color w:val="605e5c"/>
      <w:shd w:val="clear" w:color="auto" w:fill="e1dfdd"/>
    </w:rPr>
  </w:style>
  <w:style w:type="character" w:styleId="927" w:customStyle="1">
    <w:name w:val="Heading 2 Char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928" w:customStyle="1">
    <w:name w:val="Heading 3 Char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929" w:customStyle="1">
    <w:name w:val="Heading 4 Char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30" w:customStyle="1">
    <w:name w:val="Heading 5 Char"/>
    <w:uiPriority w:val="9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931" w:customStyle="1">
    <w:name w:val="Heading 6 Char"/>
    <w:uiPriority w:val="9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32" w:customStyle="1">
    <w:name w:val="Heading 7 Char"/>
    <w:uiPriority w:val="9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33" w:customStyle="1">
    <w:name w:val="Heading 8 Char"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934" w:customStyle="1">
    <w:name w:val="Heading 9 Char"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935" w:customStyle="1">
    <w:name w:val="Title Char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936" w:customStyle="1">
    <w:name w:val="Subtitle Char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937" w:customStyle="1">
    <w:name w:val="Quote Char"/>
    <w:uiPriority w:val="29"/>
    <w:rPr>
      <w:i/>
      <w:iCs/>
      <w:color w:val="000000" w:themeColor="text1"/>
    </w:rPr>
  </w:style>
  <w:style w:type="character" w:styleId="938" w:customStyle="1">
    <w:name w:val="Intense Quote Char"/>
    <w:uiPriority w:val="30"/>
    <w:rPr>
      <w:b/>
      <w:bCs/>
      <w:i/>
      <w:iCs/>
      <w:color w:val="4f81bd" w:themeColor="accent1"/>
    </w:rPr>
  </w:style>
  <w:style w:type="character" w:styleId="939" w:customStyle="1">
    <w:name w:val="Endnote Text Char"/>
    <w:uiPriority w:val="99"/>
    <w:semiHidden/>
    <w:rPr>
      <w:sz w:val="20"/>
      <w:szCs w:val="20"/>
    </w:rPr>
  </w:style>
  <w:style w:type="character" w:styleId="940" w:customStyle="1">
    <w:name w:val="Plain Text Char"/>
    <w:uiPriority w:val="99"/>
    <w:rPr>
      <w:rFonts w:ascii="Courier New" w:hAnsi="Courier New" w:cs="Courier New"/>
      <w:sz w:val="21"/>
      <w:szCs w:val="21"/>
    </w:rPr>
  </w:style>
  <w:style w:type="character" w:styleId="941" w:customStyle="1">
    <w:name w:val="Header Char"/>
    <w:uiPriority w:val="99"/>
  </w:style>
  <w:style w:type="character" w:styleId="942" w:customStyle="1">
    <w:name w:val="Footer Char"/>
    <w:uiPriority w:val="99"/>
  </w:style>
  <w:style w:type="character" w:styleId="943" w:customStyle="1">
    <w:name w:val="Heading 1 Char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44">
    <w:name w:val="Subtle Emphasis"/>
    <w:uiPriority w:val="19"/>
    <w:qFormat/>
    <w:rPr>
      <w:i/>
      <w:iCs/>
      <w:color w:val="808080" w:themeColor="text1" w:themeTint="7F"/>
    </w:rPr>
  </w:style>
  <w:style w:type="character" w:styleId="945">
    <w:name w:val="Emphasis"/>
    <w:uiPriority w:val="20"/>
    <w:qFormat/>
    <w:rPr>
      <w:i/>
      <w:iCs/>
    </w:rPr>
  </w:style>
  <w:style w:type="character" w:styleId="946">
    <w:name w:val="Subtle Reference"/>
    <w:uiPriority w:val="31"/>
    <w:qFormat/>
    <w:rPr>
      <w:smallCaps/>
      <w:color w:val="c0504d" w:themeColor="accent2"/>
      <w:u w:val="single"/>
    </w:rPr>
  </w:style>
  <w:style w:type="character" w:styleId="947">
    <w:name w:val="Book Title"/>
    <w:uiPriority w:val="33"/>
    <w:qFormat/>
    <w:rPr>
      <w:b/>
      <w:bCs/>
      <w:smallCaps/>
      <w:spacing w:val="5"/>
    </w:rPr>
  </w:style>
  <w:style w:type="paragraph" w:styleId="948">
    <w:name w:val="endnote text"/>
    <w:link w:val="949"/>
    <w:uiPriority w:val="99"/>
    <w:semiHidden/>
    <w:unhideWhenUsed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szCs w:val="20"/>
      <w:lang w:bidi="ar-SA"/>
    </w:rPr>
  </w:style>
  <w:style w:type="character" w:styleId="949" w:customStyle="1">
    <w:name w:val="Текст концевой сноски Знак"/>
    <w:basedOn w:val="846"/>
    <w:link w:val="948"/>
    <w:uiPriority w:val="99"/>
    <w:semiHidden/>
    <w:rPr>
      <w:rFonts w:asciiTheme="minorHAnsi" w:hAnsiTheme="minorHAnsi" w:eastAsiaTheme="minorHAnsi" w:cstheme="minorBidi"/>
      <w:szCs w:val="20"/>
      <w:lang w:bidi="ar-SA"/>
    </w:rPr>
  </w:style>
  <w:style w:type="character" w:styleId="950">
    <w:name w:val="endnote reference"/>
    <w:uiPriority w:val="99"/>
    <w:semiHidden/>
    <w:unhideWhenUsed/>
    <w:rPr>
      <w:vertAlign w:val="superscript"/>
    </w:rPr>
  </w:style>
  <w:style w:type="paragraph" w:styleId="951">
    <w:name w:val="Plain Text"/>
    <w:link w:val="952"/>
    <w:uiPriority w:val="99"/>
    <w:semiHidden/>
    <w:unhideWhenUsed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Courier New" w:hAnsi="Courier New" w:cs="Courier New" w:eastAsiaTheme="minorHAnsi"/>
      <w:sz w:val="21"/>
      <w:szCs w:val="21"/>
      <w:lang w:bidi="ar-SA"/>
    </w:rPr>
  </w:style>
  <w:style w:type="character" w:styleId="952" w:customStyle="1">
    <w:name w:val="Текст Знак"/>
    <w:basedOn w:val="846"/>
    <w:link w:val="951"/>
    <w:uiPriority w:val="99"/>
    <w:semiHidden/>
    <w:rPr>
      <w:rFonts w:ascii="Courier New" w:hAnsi="Courier New" w:cs="Courier New" w:eastAsiaTheme="minorHAnsi"/>
      <w:sz w:val="21"/>
      <w:szCs w:val="21"/>
      <w:lang w:bidi="ar-SA"/>
    </w:rPr>
  </w:style>
  <w:style w:type="character" w:styleId="953" w:customStyle="1">
    <w:name w:val="Верхний колонтитул Знак"/>
    <w:basedOn w:val="846"/>
    <w:link w:val="855"/>
    <w:uiPriority w:val="99"/>
    <w:rPr>
      <w:rFonts w:ascii="Times New Roman" w:hAnsi="Times New Roman" w:eastAsia="Times New Roman"/>
      <w:color w:val="000000"/>
      <w:sz w:val="22"/>
      <w:szCs w:val="24"/>
      <w:lang w:eastAsia="ru-RU" w:bidi="ar-SA"/>
    </w:rPr>
  </w:style>
  <w:style w:type="character" w:styleId="954" w:customStyle="1">
    <w:name w:val="Нижний колонтитул Знак"/>
    <w:basedOn w:val="846"/>
    <w:link w:val="856"/>
    <w:uiPriority w:val="99"/>
    <w:rPr>
      <w:rFonts w:ascii="Times New Roman" w:hAnsi="Times New Roman" w:eastAsia="Times New Roman"/>
      <w:color w:val="000000"/>
      <w:sz w:val="22"/>
      <w:szCs w:val="24"/>
      <w:lang w:eastAsia="ru-RU" w:bidi="ar-SA"/>
    </w:rPr>
  </w:style>
  <w:style w:type="paragraph" w:styleId="955">
    <w:name w:val="Caption"/>
    <w:uiPriority w:val="35"/>
    <w:unhideWhenUsed/>
    <w:qFormat/>
    <w:pPr>
      <w:spacing w:after="20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i/>
      <w:iCs/>
      <w:color w:val="1f497d" w:themeColor="text2"/>
      <w:sz w:val="18"/>
      <w:szCs w:val="18"/>
      <w:lang w:bidi="ar-SA"/>
    </w:rPr>
  </w:style>
  <w:style w:type="table" w:styleId="956" w:customStyle="1">
    <w:name w:val="Сетка таблицы1"/>
    <w:basedOn w:val="847"/>
    <w:uiPriority w:val="3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sz w:val="22"/>
      <w:lang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7" w:customStyle="1">
    <w:name w:val="Текст сноски1"/>
    <w:basedOn w:val="836"/>
    <w:next w:val="880"/>
    <w:link w:val="958"/>
    <w:uiPriority w:val="99"/>
    <w:semiHidden/>
    <w:unhideWhenUsed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sz w:val="20"/>
      <w:szCs w:val="20"/>
      <w:lang w:val="en-US" w:eastAsia="en-US"/>
    </w:rPr>
  </w:style>
  <w:style w:type="character" w:styleId="958" w:customStyle="1">
    <w:name w:val="Текст сноски Знак"/>
    <w:basedOn w:val="846"/>
    <w:link w:val="957"/>
    <w:uiPriority w:val="99"/>
    <w:semiHidden/>
    <w:rPr>
      <w:rFonts w:asciiTheme="minorHAnsi" w:hAnsiTheme="minorHAnsi" w:eastAsiaTheme="minorHAnsi" w:cstheme="minorBidi"/>
      <w:szCs w:val="20"/>
      <w:lang w:val="en-US" w:bidi="ar-SA"/>
    </w:rPr>
  </w:style>
  <w:style w:type="character" w:styleId="959" w:customStyle="1">
    <w:name w:val="Текст сноски Знак1"/>
    <w:basedOn w:val="846"/>
    <w:link w:val="880"/>
    <w:uiPriority w:val="99"/>
    <w:semiHidden/>
    <w:rPr>
      <w:rFonts w:ascii="Times New Roman" w:hAnsi="Times New Roman" w:eastAsia="Times New Roman"/>
      <w:szCs w:val="24"/>
      <w:lang w:eastAsia="ru-RU" w:bidi="ar-SA"/>
    </w:rPr>
  </w:style>
  <w:style w:type="table" w:styleId="960" w:customStyle="1">
    <w:name w:val="Сетка таблицы2"/>
    <w:basedOn w:val="847"/>
    <w:uiPriority w:val="3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sz w:val="22"/>
      <w:lang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1" w:customStyle="1">
    <w:name w:val="Сетка таблицы3"/>
    <w:basedOn w:val="847"/>
    <w:uiPriority w:val="3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sz w:val="22"/>
      <w:lang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2" w:customStyle="1">
    <w:name w:val="ConsPlusTitle"/>
    <w:uiPriority w:val="99"/>
    <w:pPr>
      <w:widowControl w:val="off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Arial" w:hAnsi="Arial" w:cs="Arial" w:eastAsiaTheme="minorEastAsia"/>
      <w:b/>
      <w:bCs/>
      <w:szCs w:val="20"/>
      <w:lang w:eastAsia="ru-RU" w:bidi="ar-SA"/>
    </w:rPr>
  </w:style>
  <w:style w:type="character" w:styleId="963">
    <w:name w:val="FollowedHyperlink"/>
    <w:basedOn w:val="846"/>
    <w:uiPriority w:val="99"/>
    <w:semiHidden/>
    <w:unhideWhenUsed/>
    <w:rPr>
      <w:color w:val="954f72"/>
      <w:u w:val="single"/>
    </w:rPr>
  </w:style>
  <w:style w:type="paragraph" w:styleId="964" w:customStyle="1">
    <w:name w:val="msonormal"/>
    <w:basedOn w:val="836"/>
    <w:pPr>
      <w:spacing w:before="100" w:beforeAutospacing="1" w:after="100" w:afterAutospacing="1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</w:style>
  <w:style w:type="paragraph" w:styleId="965" w:customStyle="1">
    <w:name w:val="xl65"/>
    <w:basedOn w:val="836"/>
    <w:pPr>
      <w:spacing w:before="100" w:beforeAutospacing="1" w:after="100" w:afterAutospacing="1"/>
      <w:pBdr>
        <w:top w:val="none" w:color="000000" w:sz="0" w:space="0"/>
        <w:left w:val="none" w:color="000000" w:sz="0" w:space="0"/>
        <w:bottom w:val="single" w:color="000000" w:sz="8" w:space="0"/>
        <w:right w:val="single" w:color="000000" w:sz="8" w:space="0"/>
        <w:between w:val="none" w:color="000000" w:sz="0" w:space="0"/>
      </w:pBdr>
    </w:pPr>
  </w:style>
  <w:style w:type="paragraph" w:styleId="966" w:customStyle="1">
    <w:name w:val="xl66"/>
    <w:basedOn w:val="836"/>
    <w:pPr>
      <w:jc w:val="both"/>
      <w:spacing w:before="100" w:beforeAutospacing="1" w:after="100" w:afterAutospacing="1"/>
      <w:pBdr>
        <w:top w:val="none" w:color="000000" w:sz="0" w:space="0"/>
        <w:left w:val="none" w:color="000000" w:sz="0" w:space="0"/>
        <w:bottom w:val="single" w:color="000000" w:sz="8" w:space="0"/>
        <w:right w:val="single" w:color="000000" w:sz="8" w:space="0"/>
        <w:between w:val="none" w:color="000000" w:sz="0" w:space="0"/>
      </w:pBdr>
    </w:pPr>
  </w:style>
  <w:style w:type="paragraph" w:styleId="967" w:customStyle="1">
    <w:name w:val="xl67"/>
    <w:basedOn w:val="836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none" w:color="000000" w:sz="0" w:space="0"/>
        <w:right w:val="single" w:color="000000" w:sz="8" w:space="0"/>
        <w:between w:val="none" w:color="000000" w:sz="0" w:space="0"/>
      </w:pBdr>
    </w:pPr>
  </w:style>
  <w:style w:type="paragraph" w:styleId="968" w:customStyle="1">
    <w:name w:val="xl68"/>
    <w:basedOn w:val="836"/>
    <w:pPr>
      <w:spacing w:before="100" w:beforeAutospacing="1" w:after="100" w:afterAutospacing="1"/>
      <w:pBdr>
        <w:top w:val="none" w:color="000000" w:sz="0" w:space="0"/>
        <w:left w:val="single" w:color="000000" w:sz="8" w:space="0"/>
        <w:bottom w:val="single" w:color="000000" w:sz="8" w:space="0"/>
        <w:right w:val="single" w:color="000000" w:sz="8" w:space="0"/>
        <w:between w:val="none" w:color="000000" w:sz="0" w:space="0"/>
      </w:pBdr>
    </w:pPr>
  </w:style>
  <w:style w:type="paragraph" w:styleId="969" w:customStyle="1">
    <w:name w:val="xl69"/>
    <w:basedOn w:val="836"/>
    <w:pPr>
      <w:jc w:val="both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none" w:color="000000" w:sz="0" w:space="0"/>
        <w:right w:val="single" w:color="000000" w:sz="8" w:space="0"/>
        <w:between w:val="none" w:color="000000" w:sz="0" w:space="0"/>
      </w:pBdr>
    </w:pPr>
  </w:style>
  <w:style w:type="paragraph" w:styleId="970" w:customStyle="1">
    <w:name w:val="xl70"/>
    <w:basedOn w:val="836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none" w:color="000000" w:sz="0" w:space="0"/>
        <w:right w:val="single" w:color="000000" w:sz="8" w:space="0"/>
        <w:between w:val="none" w:color="000000" w:sz="0" w:space="0"/>
      </w:pBdr>
    </w:pPr>
  </w:style>
  <w:style w:type="paragraph" w:styleId="971" w:customStyle="1">
    <w:name w:val="xl71"/>
    <w:basedOn w:val="836"/>
    <w:pPr>
      <w:jc w:val="both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between w:val="none" w:color="000000" w:sz="0" w:space="0"/>
      </w:pBdr>
    </w:pPr>
  </w:style>
  <w:style w:type="paragraph" w:styleId="972" w:customStyle="1">
    <w:name w:val="xl72"/>
    <w:basedOn w:val="836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between w:val="none" w:color="000000" w:sz="0" w:space="0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consultantplus://offline/ref=F3EFAA96FFEBEB5B9BE1A5E56E23935CCC6D4ABEAA81AFC7A97074D9F4A0B9236EF413D99A27A59AC4563C90B07EF045B9DF9818F4D0F171B1PBP" TargetMode="External"/><Relationship Id="rId14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FA29-925F-4CFA-A35D-7B3A105B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revision>13</cp:revision>
  <dcterms:created xsi:type="dcterms:W3CDTF">2025-07-22T13:22:00Z</dcterms:created>
  <dcterms:modified xsi:type="dcterms:W3CDTF">2025-07-30T07:03:21Z</dcterms:modified>
</cp:coreProperties>
</file>